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D5B28" w14:textId="77777777" w:rsidR="00CF65B0" w:rsidRPr="00CF65B0" w:rsidRDefault="00CF65B0" w:rsidP="00CF65B0">
      <w:pPr>
        <w:spacing w:line="240" w:lineRule="auto"/>
        <w:textAlignment w:val="baseline"/>
        <w:rPr>
          <w:rFonts w:ascii="Aptos" w:eastAsia="Times New Roman" w:hAnsi="Aptos" w:cs="Open Sans SemiBold"/>
          <w:b/>
          <w:bCs/>
          <w:color w:val="323E4F" w:themeColor="text2" w:themeShade="BF"/>
          <w:kern w:val="0"/>
          <w:sz w:val="24"/>
          <w:szCs w:val="24"/>
          <w:bdr w:val="none" w:sz="0" w:space="0" w:color="auto" w:frame="1"/>
          <w:lang w:eastAsia="en-GB"/>
          <w14:ligatures w14:val="none"/>
        </w:rPr>
      </w:pPr>
      <w:r w:rsidRPr="00CF65B0">
        <w:rPr>
          <w:rFonts w:ascii="Aptos" w:eastAsia="Times New Roman" w:hAnsi="Aptos" w:cs="Open Sans SemiBold"/>
          <w:b/>
          <w:bCs/>
          <w:color w:val="323E4F" w:themeColor="text2" w:themeShade="BF"/>
          <w:kern w:val="0"/>
          <w:sz w:val="24"/>
          <w:szCs w:val="24"/>
          <w:bdr w:val="none" w:sz="0" w:space="0" w:color="auto" w:frame="1"/>
          <w:lang w:eastAsia="en-GB"/>
          <w14:ligatures w14:val="none"/>
        </w:rPr>
        <w:t>Equality, Diversity and Inclusion Policy</w:t>
      </w:r>
    </w:p>
    <w:p w14:paraId="3CF87CC0" w14:textId="77777777" w:rsidR="00CF65B0" w:rsidRDefault="00CF65B0" w:rsidP="00CF65B0">
      <w:pPr>
        <w:spacing w:line="240" w:lineRule="auto"/>
        <w:textAlignment w:val="baseline"/>
        <w:rPr>
          <w:rFonts w:ascii="Aptos" w:eastAsia="Times New Roman" w:hAnsi="Aptos" w:cs="Open Sans SemiBold"/>
          <w:color w:val="323E4F" w:themeColor="text2" w:themeShade="BF"/>
          <w:kern w:val="0"/>
          <w:bdr w:val="none" w:sz="0" w:space="0" w:color="auto" w:frame="1"/>
          <w:lang w:eastAsia="en-GB"/>
          <w14:ligatures w14:val="none"/>
        </w:rPr>
      </w:pPr>
    </w:p>
    <w:p w14:paraId="10EBB78C" w14:textId="7A4ED2C3"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SemiBold"/>
          <w:color w:val="323E4F" w:themeColor="text2" w:themeShade="BF"/>
          <w:kern w:val="0"/>
          <w:bdr w:val="none" w:sz="0" w:space="0" w:color="auto" w:frame="1"/>
          <w:lang w:eastAsia="en-GB"/>
          <w14:ligatures w14:val="none"/>
        </w:rPr>
        <w:t>Talent Junction Limited</w:t>
      </w:r>
      <w:r w:rsidRPr="00CF65B0">
        <w:rPr>
          <w:rFonts w:ascii="Aptos" w:eastAsia="Times New Roman" w:hAnsi="Aptos" w:cs="Open Sans"/>
          <w:color w:val="323E4F" w:themeColor="text2" w:themeShade="BF"/>
          <w:kern w:val="0"/>
          <w:lang w:eastAsia="en-GB"/>
          <w14:ligatures w14:val="none"/>
        </w:rPr>
        <w:t> is committed to encouraging equality, diversity, and inclusion among our workforce, and eliminating unlawful discrimination.</w:t>
      </w:r>
    </w:p>
    <w:p w14:paraId="3DED2AD6"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The aim is for our workforce to be truly representative of all sections of society and our customers, and for each employee to feel respected and able to give their best.</w:t>
      </w:r>
    </w:p>
    <w:p w14:paraId="4E911754"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The organisation – in providing goods and/or services and/or facilities – is also committed against unlawful discrimination of customers or the public.</w:t>
      </w:r>
    </w:p>
    <w:p w14:paraId="2F38C536" w14:textId="77777777" w:rsidR="00CF65B0" w:rsidRPr="00CF65B0" w:rsidRDefault="00CF65B0" w:rsidP="00CF65B0">
      <w:pPr>
        <w:spacing w:before="600" w:line="240" w:lineRule="auto"/>
        <w:textAlignment w:val="baseline"/>
        <w:outlineLvl w:val="2"/>
        <w:rPr>
          <w:rFonts w:ascii="Aptos" w:eastAsia="Times New Roman" w:hAnsi="Aptos" w:cs="Arial"/>
          <w:b/>
          <w:bCs/>
          <w:color w:val="323E4F" w:themeColor="text2" w:themeShade="BF"/>
          <w:kern w:val="0"/>
          <w:lang w:eastAsia="en-GB"/>
          <w14:ligatures w14:val="none"/>
        </w:rPr>
      </w:pPr>
      <w:r w:rsidRPr="00CF65B0">
        <w:rPr>
          <w:rFonts w:ascii="Aptos" w:eastAsia="Times New Roman" w:hAnsi="Aptos" w:cs="Arial"/>
          <w:b/>
          <w:bCs/>
          <w:color w:val="323E4F" w:themeColor="text2" w:themeShade="BF"/>
          <w:kern w:val="0"/>
          <w:lang w:eastAsia="en-GB"/>
          <w14:ligatures w14:val="none"/>
        </w:rPr>
        <w:t>Our policy's purpose</w:t>
      </w:r>
    </w:p>
    <w:p w14:paraId="2FF27E56"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This policy's purpose is to:</w:t>
      </w:r>
    </w:p>
    <w:p w14:paraId="04E57B4B"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1. Provide equality, fairness and respect for all in our employment, whether temporary, part-time or full-time</w:t>
      </w:r>
    </w:p>
    <w:p w14:paraId="72B79BBF"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2. Not unlawfully discriminate because of the Equality Act 2010 protected characteristics of: </w:t>
      </w:r>
    </w:p>
    <w:p w14:paraId="08DEF4BD" w14:textId="77777777" w:rsidR="00CF65B0" w:rsidRPr="00CF65B0" w:rsidRDefault="00CF65B0" w:rsidP="00CF65B0">
      <w:pPr>
        <w:numPr>
          <w:ilvl w:val="0"/>
          <w:numId w:val="1"/>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age</w:t>
      </w:r>
    </w:p>
    <w:p w14:paraId="6C5F9DFF" w14:textId="77777777" w:rsidR="00CF65B0" w:rsidRPr="00CF65B0" w:rsidRDefault="00CF65B0" w:rsidP="00CF65B0">
      <w:pPr>
        <w:numPr>
          <w:ilvl w:val="0"/>
          <w:numId w:val="1"/>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disability</w:t>
      </w:r>
    </w:p>
    <w:p w14:paraId="2B3D2757" w14:textId="77777777" w:rsidR="00CF65B0" w:rsidRPr="00CF65B0" w:rsidRDefault="00CF65B0" w:rsidP="00CF65B0">
      <w:pPr>
        <w:numPr>
          <w:ilvl w:val="0"/>
          <w:numId w:val="1"/>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gender reassignment</w:t>
      </w:r>
    </w:p>
    <w:p w14:paraId="641AF711" w14:textId="77777777" w:rsidR="00CF65B0" w:rsidRPr="00CF65B0" w:rsidRDefault="00CF65B0" w:rsidP="00CF65B0">
      <w:pPr>
        <w:numPr>
          <w:ilvl w:val="0"/>
          <w:numId w:val="1"/>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marriage and civil partnership</w:t>
      </w:r>
    </w:p>
    <w:p w14:paraId="7985256F" w14:textId="77777777" w:rsidR="00CF65B0" w:rsidRPr="00CF65B0" w:rsidRDefault="00CF65B0" w:rsidP="00CF65B0">
      <w:pPr>
        <w:numPr>
          <w:ilvl w:val="0"/>
          <w:numId w:val="1"/>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pregnancy and maternity</w:t>
      </w:r>
    </w:p>
    <w:p w14:paraId="03FA0080" w14:textId="77777777" w:rsidR="00CF65B0" w:rsidRPr="00CF65B0" w:rsidRDefault="00CF65B0" w:rsidP="00CF65B0">
      <w:pPr>
        <w:numPr>
          <w:ilvl w:val="0"/>
          <w:numId w:val="1"/>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race (including colour, nationality, and ethnic or national origin)</w:t>
      </w:r>
    </w:p>
    <w:p w14:paraId="28F1D4A4" w14:textId="77777777" w:rsidR="00CF65B0" w:rsidRPr="00CF65B0" w:rsidRDefault="00CF65B0" w:rsidP="00CF65B0">
      <w:pPr>
        <w:numPr>
          <w:ilvl w:val="0"/>
          <w:numId w:val="1"/>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religion or belief</w:t>
      </w:r>
    </w:p>
    <w:p w14:paraId="60775C83" w14:textId="77777777" w:rsidR="00CF65B0" w:rsidRPr="00CF65B0" w:rsidRDefault="00CF65B0" w:rsidP="00CF65B0">
      <w:pPr>
        <w:numPr>
          <w:ilvl w:val="0"/>
          <w:numId w:val="1"/>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sex</w:t>
      </w:r>
    </w:p>
    <w:p w14:paraId="6B1ECFE9" w14:textId="0F7EBE6B" w:rsidR="00CF65B0" w:rsidRPr="00CF65B0" w:rsidRDefault="00CF65B0" w:rsidP="00CF65B0">
      <w:pPr>
        <w:numPr>
          <w:ilvl w:val="0"/>
          <w:numId w:val="1"/>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sexual orientation</w:t>
      </w:r>
    </w:p>
    <w:p w14:paraId="49703164"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3. Oppose and avoid all forms of unlawful discrimination. This includes in:</w:t>
      </w:r>
    </w:p>
    <w:p w14:paraId="7023A21E" w14:textId="77777777" w:rsidR="00CF65B0" w:rsidRPr="00CF65B0" w:rsidRDefault="00CF65B0" w:rsidP="00CF65B0">
      <w:pPr>
        <w:numPr>
          <w:ilvl w:val="0"/>
          <w:numId w:val="2"/>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pay and benefits</w:t>
      </w:r>
    </w:p>
    <w:p w14:paraId="220F3C1B" w14:textId="77777777" w:rsidR="00CF65B0" w:rsidRPr="00CF65B0" w:rsidRDefault="00CF65B0" w:rsidP="00CF65B0">
      <w:pPr>
        <w:numPr>
          <w:ilvl w:val="0"/>
          <w:numId w:val="2"/>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terms and conditions of employment</w:t>
      </w:r>
    </w:p>
    <w:p w14:paraId="3D819E2B" w14:textId="77777777" w:rsidR="00CF65B0" w:rsidRPr="00CF65B0" w:rsidRDefault="00CF65B0" w:rsidP="00CF65B0">
      <w:pPr>
        <w:numPr>
          <w:ilvl w:val="0"/>
          <w:numId w:val="2"/>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dealing with grievances and discipline</w:t>
      </w:r>
    </w:p>
    <w:p w14:paraId="309DA09A" w14:textId="77777777" w:rsidR="00CF65B0" w:rsidRPr="00CF65B0" w:rsidRDefault="00CF65B0" w:rsidP="00CF65B0">
      <w:pPr>
        <w:numPr>
          <w:ilvl w:val="0"/>
          <w:numId w:val="2"/>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dismissal</w:t>
      </w:r>
    </w:p>
    <w:p w14:paraId="2A270AA4" w14:textId="77777777" w:rsidR="00CF65B0" w:rsidRPr="00CF65B0" w:rsidRDefault="00CF65B0" w:rsidP="00CF65B0">
      <w:pPr>
        <w:numPr>
          <w:ilvl w:val="0"/>
          <w:numId w:val="2"/>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redundancy</w:t>
      </w:r>
    </w:p>
    <w:p w14:paraId="36CFEF20" w14:textId="77777777" w:rsidR="00CF65B0" w:rsidRPr="00CF65B0" w:rsidRDefault="00CF65B0" w:rsidP="00CF65B0">
      <w:pPr>
        <w:numPr>
          <w:ilvl w:val="0"/>
          <w:numId w:val="2"/>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leave for parents</w:t>
      </w:r>
    </w:p>
    <w:p w14:paraId="62156548" w14:textId="77777777" w:rsidR="00CF65B0" w:rsidRPr="00CF65B0" w:rsidRDefault="00CF65B0" w:rsidP="00CF65B0">
      <w:pPr>
        <w:numPr>
          <w:ilvl w:val="0"/>
          <w:numId w:val="2"/>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requests for flexible working</w:t>
      </w:r>
    </w:p>
    <w:p w14:paraId="69DB6002" w14:textId="77777777" w:rsidR="00CF65B0" w:rsidRPr="00CF65B0" w:rsidRDefault="00CF65B0" w:rsidP="00CF65B0">
      <w:pPr>
        <w:numPr>
          <w:ilvl w:val="0"/>
          <w:numId w:val="2"/>
        </w:numPr>
        <w:spacing w:line="240" w:lineRule="auto"/>
        <w:ind w:left="1170"/>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selection for employment, promotion, training or other development opportunities</w:t>
      </w:r>
    </w:p>
    <w:p w14:paraId="1FFF194D" w14:textId="77777777" w:rsidR="00CF65B0" w:rsidRPr="00CF65B0" w:rsidRDefault="00CF65B0" w:rsidP="00CF65B0">
      <w:pPr>
        <w:spacing w:before="600" w:line="240" w:lineRule="auto"/>
        <w:textAlignment w:val="baseline"/>
        <w:outlineLvl w:val="2"/>
        <w:rPr>
          <w:rFonts w:ascii="Aptos" w:eastAsia="Times New Roman" w:hAnsi="Aptos" w:cs="Arial"/>
          <w:b/>
          <w:bCs/>
          <w:color w:val="323E4F" w:themeColor="text2" w:themeShade="BF"/>
          <w:kern w:val="0"/>
          <w:lang w:eastAsia="en-GB"/>
          <w14:ligatures w14:val="none"/>
        </w:rPr>
      </w:pPr>
      <w:r w:rsidRPr="00CF65B0">
        <w:rPr>
          <w:rFonts w:ascii="Aptos" w:eastAsia="Times New Roman" w:hAnsi="Aptos" w:cs="Arial"/>
          <w:b/>
          <w:bCs/>
          <w:color w:val="323E4F" w:themeColor="text2" w:themeShade="BF"/>
          <w:kern w:val="0"/>
          <w:lang w:eastAsia="en-GB"/>
          <w14:ligatures w14:val="none"/>
        </w:rPr>
        <w:t>Our commitments</w:t>
      </w:r>
    </w:p>
    <w:p w14:paraId="187A5A05"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lastRenderedPageBreak/>
        <w:t>The organisation commits to:</w:t>
      </w:r>
    </w:p>
    <w:p w14:paraId="28DC2A64" w14:textId="6E17F72F"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1. Encourage equality, diversity and inclusion in the workplace as they are good practice and make business sense.</w:t>
      </w:r>
    </w:p>
    <w:p w14:paraId="2152F720"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2. Create a working environment free of bullying, harassment, victimisation and unlawful discrimination, promoting dignity and respect for all, and where individual differences and the contributions of all staff are recognised and valued.</w:t>
      </w:r>
    </w:p>
    <w:p w14:paraId="06DF5454"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This commitment includes training managers and all other employees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p>
    <w:p w14:paraId="40B2DBDA"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All staff should understand they, as well as their employer, can be held liable for acts of bullying, harassment, victimisation and unlawful discrimination, in the course of their employment, against fellow employees, customers, suppliers and the public.</w:t>
      </w:r>
    </w:p>
    <w:p w14:paraId="28A92306"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3. Take seriously complaints of bullying, harassment, victimisation and unlawful discrimination by fellow employees, customers, suppliers, visitors, the public and any others in the course of the organisation's work activities.</w:t>
      </w:r>
    </w:p>
    <w:p w14:paraId="7BB15513"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Such acts will be dealt with as misconduct under the organisation's grievance or disciplinary procedures, and appropriate action will be taken. Particularly serious complaints could amount to gross misconduct and lead to dismissal without notice.</w:t>
      </w:r>
    </w:p>
    <w:p w14:paraId="5D19A712"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3C2B5068"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4. Make opportunities for training, development and progress available to all staff, who will be helped and encouraged to develop their full potential, so their talents and resources can be fully utilised to maximise the efficiency of the organisation.</w:t>
      </w:r>
    </w:p>
    <w:p w14:paraId="64B86AB7"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5. Make decisions concerning staff based on merit (apart from in any necessary and limited exemptions and exceptions allowed under the Equality Act).</w:t>
      </w:r>
    </w:p>
    <w:p w14:paraId="11E2CC85" w14:textId="7E2DD1DB"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6. Review employment practices and procedures when necessary to ensure fairness, and also update them and the policy to take account of changes in the law.</w:t>
      </w:r>
    </w:p>
    <w:p w14:paraId="44CCBC38"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7. 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p>
    <w:p w14:paraId="7D5D8921"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Monitoring will also include assessing how the equality, diversity and inclusion policy, and any supporting action plan, are working in practice, reviewing them annually, and considering and taking action to address any issues.</w:t>
      </w:r>
    </w:p>
    <w:p w14:paraId="0862C08F" w14:textId="77777777" w:rsidR="00CF65B0" w:rsidRPr="00CF65B0" w:rsidRDefault="00CF65B0" w:rsidP="00CF65B0">
      <w:pPr>
        <w:spacing w:before="600" w:line="240" w:lineRule="auto"/>
        <w:textAlignment w:val="baseline"/>
        <w:outlineLvl w:val="2"/>
        <w:rPr>
          <w:rFonts w:ascii="Aptos" w:eastAsia="Times New Roman" w:hAnsi="Aptos" w:cs="Arial"/>
          <w:b/>
          <w:bCs/>
          <w:color w:val="323E4F" w:themeColor="text2" w:themeShade="BF"/>
          <w:kern w:val="0"/>
          <w:lang w:eastAsia="en-GB"/>
          <w14:ligatures w14:val="none"/>
        </w:rPr>
      </w:pPr>
      <w:r w:rsidRPr="00CF65B0">
        <w:rPr>
          <w:rFonts w:ascii="Aptos" w:eastAsia="Times New Roman" w:hAnsi="Aptos" w:cs="Arial"/>
          <w:b/>
          <w:bCs/>
          <w:color w:val="323E4F" w:themeColor="text2" w:themeShade="BF"/>
          <w:kern w:val="0"/>
          <w:lang w:eastAsia="en-GB"/>
          <w14:ligatures w14:val="none"/>
        </w:rPr>
        <w:t>Agreement to follow this policy</w:t>
      </w:r>
    </w:p>
    <w:p w14:paraId="4F81F44E" w14:textId="372478AD"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The equality, diversity and inclusion policy is fully supported by the Managing Director, Amy Redsell.</w:t>
      </w:r>
    </w:p>
    <w:p w14:paraId="478643AE" w14:textId="77777777" w:rsidR="00CF65B0" w:rsidRPr="00CF65B0" w:rsidRDefault="00CF65B0" w:rsidP="00CF65B0">
      <w:pPr>
        <w:spacing w:before="600" w:line="240" w:lineRule="auto"/>
        <w:textAlignment w:val="baseline"/>
        <w:outlineLvl w:val="2"/>
        <w:rPr>
          <w:rFonts w:ascii="Aptos" w:eastAsia="Times New Roman" w:hAnsi="Aptos" w:cs="Arial"/>
          <w:b/>
          <w:bCs/>
          <w:color w:val="323E4F" w:themeColor="text2" w:themeShade="BF"/>
          <w:kern w:val="0"/>
          <w:lang w:eastAsia="en-GB"/>
          <w14:ligatures w14:val="none"/>
        </w:rPr>
      </w:pPr>
      <w:r w:rsidRPr="00CF65B0">
        <w:rPr>
          <w:rFonts w:ascii="Aptos" w:eastAsia="Times New Roman" w:hAnsi="Aptos" w:cs="Arial"/>
          <w:b/>
          <w:bCs/>
          <w:color w:val="323E4F" w:themeColor="text2" w:themeShade="BF"/>
          <w:kern w:val="0"/>
          <w:lang w:eastAsia="en-GB"/>
          <w14:ligatures w14:val="none"/>
        </w:rPr>
        <w:lastRenderedPageBreak/>
        <w:t>Our disciplinary and grievance procedures</w:t>
      </w:r>
    </w:p>
    <w:p w14:paraId="04DF40E8" w14:textId="5E6981D8"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Details of the organisation's grievance and disciplinary policies and procedures can be provided upon request from hello@talent-junction.co.uk. This includes with whom an employee should raise a grievance – usually their line manager.</w:t>
      </w:r>
    </w:p>
    <w:p w14:paraId="03C9BDD5" w14:textId="77777777" w:rsidR="00CF65B0" w:rsidRPr="00CF65B0" w:rsidRDefault="00CF65B0" w:rsidP="00CF65B0">
      <w:pPr>
        <w:spacing w:line="240" w:lineRule="auto"/>
        <w:textAlignment w:val="baseline"/>
        <w:rPr>
          <w:rFonts w:ascii="Aptos" w:eastAsia="Times New Roman" w:hAnsi="Aptos" w:cs="Open Sans"/>
          <w:color w:val="323E4F" w:themeColor="text2" w:themeShade="BF"/>
          <w:kern w:val="0"/>
          <w:lang w:eastAsia="en-GB"/>
          <w14:ligatures w14:val="none"/>
        </w:rPr>
      </w:pPr>
      <w:r w:rsidRPr="00CF65B0">
        <w:rPr>
          <w:rFonts w:ascii="Aptos" w:eastAsia="Times New Roman" w:hAnsi="Aptos" w:cs="Open Sans"/>
          <w:color w:val="323E4F" w:themeColor="text2" w:themeShade="BF"/>
          <w:kern w:val="0"/>
          <w:lang w:eastAsia="en-GB"/>
          <w14:ligatures w14:val="none"/>
        </w:rPr>
        <w:t>Use of the organisation's grievance or disciplinary procedures does not affect an employee's right to make a claim to an employment tribunal within 3 months of the alleged discrimination.</w:t>
      </w:r>
    </w:p>
    <w:p w14:paraId="23C46081" w14:textId="77777777" w:rsidR="00CF65B0" w:rsidRPr="00CF65B0" w:rsidRDefault="00CF65B0" w:rsidP="00CF65B0">
      <w:pPr>
        <w:rPr>
          <w:color w:val="323E4F" w:themeColor="text2" w:themeShade="BF"/>
        </w:rPr>
      </w:pPr>
    </w:p>
    <w:sectPr w:rsidR="00CF65B0" w:rsidRPr="00CF65B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DA7D9" w14:textId="77777777" w:rsidR="00CF65B0" w:rsidRDefault="00CF65B0" w:rsidP="00CF65B0">
      <w:pPr>
        <w:spacing w:after="0" w:line="240" w:lineRule="auto"/>
      </w:pPr>
      <w:r>
        <w:separator/>
      </w:r>
    </w:p>
  </w:endnote>
  <w:endnote w:type="continuationSeparator" w:id="0">
    <w:p w14:paraId="74BFF053" w14:textId="77777777" w:rsidR="00CF65B0" w:rsidRDefault="00CF65B0" w:rsidP="00CF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C99F1" w14:textId="68E56D4D" w:rsidR="00CF65B0" w:rsidRDefault="00CF65B0">
    <w:pPr>
      <w:pStyle w:val="Footer"/>
    </w:pPr>
    <w:r>
      <w:t>For any questions on the enclosed document, please email hello@talent-junction.co.uk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89B20" w14:textId="77777777" w:rsidR="00CF65B0" w:rsidRDefault="00CF65B0" w:rsidP="00CF65B0">
      <w:pPr>
        <w:spacing w:after="0" w:line="240" w:lineRule="auto"/>
      </w:pPr>
      <w:r>
        <w:separator/>
      </w:r>
    </w:p>
  </w:footnote>
  <w:footnote w:type="continuationSeparator" w:id="0">
    <w:p w14:paraId="0A91DE77" w14:textId="77777777" w:rsidR="00CF65B0" w:rsidRDefault="00CF65B0" w:rsidP="00CF6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402FC" w14:textId="33E023AB" w:rsidR="00CF65B0" w:rsidRDefault="00CF65B0">
    <w:pPr>
      <w:pStyle w:val="Header"/>
    </w:pPr>
    <w:r>
      <w:rPr>
        <w:rFonts w:ascii="Aptos" w:eastAsia="Times New Roman" w:hAnsi="Aptos" w:cs="Open Sans"/>
        <w:noProof/>
        <w:color w:val="000000"/>
        <w:kern w:val="0"/>
        <w:lang w:eastAsia="en-GB"/>
      </w:rPr>
      <w:drawing>
        <wp:anchor distT="0" distB="0" distL="114300" distR="114300" simplePos="0" relativeHeight="251659264" behindDoc="1" locked="0" layoutInCell="1" allowOverlap="1" wp14:anchorId="1FE361CA" wp14:editId="47F77E1A">
          <wp:simplePos x="0" y="0"/>
          <wp:positionH relativeFrom="rightMargin">
            <wp:posOffset>-175260</wp:posOffset>
          </wp:positionH>
          <wp:positionV relativeFrom="paragraph">
            <wp:posOffset>-411480</wp:posOffset>
          </wp:positionV>
          <wp:extent cx="876300" cy="876300"/>
          <wp:effectExtent l="0" t="0" r="0" b="0"/>
          <wp:wrapTight wrapText="bothSides">
            <wp:wrapPolygon edited="0">
              <wp:start x="9391" y="0"/>
              <wp:lineTo x="6104" y="939"/>
              <wp:lineTo x="0" y="5635"/>
              <wp:lineTo x="0" y="9391"/>
              <wp:lineTo x="939" y="16435"/>
              <wp:lineTo x="6574" y="20661"/>
              <wp:lineTo x="7983" y="21130"/>
              <wp:lineTo x="13148" y="21130"/>
              <wp:lineTo x="14557" y="20661"/>
              <wp:lineTo x="20191" y="16435"/>
              <wp:lineTo x="20661" y="15496"/>
              <wp:lineTo x="21130" y="10330"/>
              <wp:lineTo x="21130" y="5635"/>
              <wp:lineTo x="15026" y="939"/>
              <wp:lineTo x="11739" y="0"/>
              <wp:lineTo x="9391" y="0"/>
            </wp:wrapPolygon>
          </wp:wrapTight>
          <wp:docPr id="412496247" name="Picture 1" descr="A logo with white text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51140" name="Picture 1" descr="A logo with white text and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E502E"/>
    <w:multiLevelType w:val="multilevel"/>
    <w:tmpl w:val="786A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9C0450"/>
    <w:multiLevelType w:val="multilevel"/>
    <w:tmpl w:val="2942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302757">
    <w:abstractNumId w:val="0"/>
  </w:num>
  <w:num w:numId="2" w16cid:durableId="414712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B0"/>
    <w:rsid w:val="004B0AC6"/>
    <w:rsid w:val="00CF65B0"/>
    <w:rsid w:val="00FF4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1B0E"/>
  <w15:chartTrackingRefBased/>
  <w15:docId w15:val="{FD5FE9D1-810A-4233-AD8A-BDC32F01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F65B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5B0"/>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CF65B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65B0"/>
    <w:rPr>
      <w:b/>
      <w:bCs/>
    </w:rPr>
  </w:style>
  <w:style w:type="paragraph" w:styleId="Header">
    <w:name w:val="header"/>
    <w:basedOn w:val="Normal"/>
    <w:link w:val="HeaderChar"/>
    <w:uiPriority w:val="99"/>
    <w:unhideWhenUsed/>
    <w:rsid w:val="00CF6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5B0"/>
  </w:style>
  <w:style w:type="paragraph" w:styleId="Footer">
    <w:name w:val="footer"/>
    <w:basedOn w:val="Normal"/>
    <w:link w:val="FooterChar"/>
    <w:uiPriority w:val="99"/>
    <w:unhideWhenUsed/>
    <w:rsid w:val="00CF6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5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4074</Characters>
  <Application>Microsoft Office Word</Application>
  <DocSecurity>4</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Lock</dc:creator>
  <cp:keywords/>
  <dc:description/>
  <cp:lastModifiedBy>Amy Redsell</cp:lastModifiedBy>
  <cp:revision>2</cp:revision>
  <dcterms:created xsi:type="dcterms:W3CDTF">2024-10-01T12:15:00Z</dcterms:created>
  <dcterms:modified xsi:type="dcterms:W3CDTF">2024-10-01T12:15:00Z</dcterms:modified>
</cp:coreProperties>
</file>